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6"/>
        <w:gridCol w:w="3629"/>
        <w:gridCol w:w="4629"/>
      </w:tblGrid>
      <w:tr w:rsidR="00303CC4" w:rsidRPr="00303CC4" w:rsidTr="00303CC4">
        <w:tc>
          <w:tcPr>
            <w:tcW w:w="0" w:type="auto"/>
            <w:gridSpan w:val="3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bottom"/>
            <w:hideMark/>
          </w:tcPr>
          <w:p w:rsidR="00303CC4" w:rsidRPr="00303CC4" w:rsidRDefault="00EE61CE" w:rsidP="00303CC4">
            <w:pPr>
              <w:spacing w:after="0" w:line="348" w:lineRule="atLeast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color w:val="4A4A47"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color w:val="4A4A47"/>
                <w:sz w:val="17"/>
                <w:szCs w:val="17"/>
                <w:bdr w:val="none" w:sz="0" w:space="0" w:color="auto" w:frame="1"/>
              </w:rPr>
              <w:t>English 110 Composition 1</w:t>
            </w:r>
          </w:p>
        </w:tc>
      </w:tr>
      <w:tr w:rsidR="00DE4AF9" w:rsidRPr="00303CC4" w:rsidTr="00303CC4"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bottom"/>
            <w:hideMark/>
          </w:tcPr>
          <w:p w:rsidR="00810F24" w:rsidRDefault="00303CC4" w:rsidP="00303CC4">
            <w:pPr>
              <w:spacing w:after="0" w:line="348" w:lineRule="atLeast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color w:val="4A4A47"/>
                <w:sz w:val="17"/>
                <w:szCs w:val="17"/>
                <w:bdr w:val="none" w:sz="0" w:space="0" w:color="auto" w:frame="1"/>
              </w:rPr>
            </w:pPr>
            <w:r w:rsidRPr="00303CC4">
              <w:rPr>
                <w:rFonts w:ascii="Arial" w:eastAsia="Times New Roman" w:hAnsi="Arial" w:cs="Arial"/>
                <w:b/>
                <w:bCs/>
                <w:color w:val="4A4A47"/>
                <w:sz w:val="17"/>
                <w:szCs w:val="17"/>
                <w:bdr w:val="none" w:sz="0" w:space="0" w:color="auto" w:frame="1"/>
              </w:rPr>
              <w:t>Time Allotment</w:t>
            </w:r>
            <w:r w:rsidR="00810F24">
              <w:rPr>
                <w:rFonts w:ascii="Arial" w:eastAsia="Times New Roman" w:hAnsi="Arial" w:cs="Arial"/>
                <w:b/>
                <w:bCs/>
                <w:color w:val="4A4A47"/>
                <w:sz w:val="17"/>
                <w:szCs w:val="17"/>
                <w:bdr w:val="none" w:sz="0" w:space="0" w:color="auto" w:frame="1"/>
              </w:rPr>
              <w:t xml:space="preserve"> 50</w:t>
            </w:r>
            <w:r w:rsidRPr="00303CC4">
              <w:rPr>
                <w:rFonts w:ascii="Arial" w:eastAsia="Times New Roman" w:hAnsi="Arial" w:cs="Arial"/>
                <w:b/>
                <w:bCs/>
                <w:color w:val="4A4A47"/>
                <w:sz w:val="17"/>
                <w:szCs w:val="17"/>
                <w:bdr w:val="none" w:sz="0" w:space="0" w:color="auto" w:frame="1"/>
              </w:rPr>
              <w:t xml:space="preserve"> </w:t>
            </w:r>
          </w:p>
          <w:p w:rsidR="00303CC4" w:rsidRPr="00303CC4" w:rsidRDefault="00303CC4" w:rsidP="00303CC4">
            <w:pPr>
              <w:spacing w:after="0" w:line="348" w:lineRule="atLeast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color w:val="4A4A47"/>
                <w:sz w:val="17"/>
                <w:szCs w:val="17"/>
              </w:rPr>
            </w:pPr>
            <w:r w:rsidRPr="00303CC4">
              <w:rPr>
                <w:rFonts w:ascii="Arial" w:eastAsia="Times New Roman" w:hAnsi="Arial" w:cs="Arial"/>
                <w:b/>
                <w:bCs/>
                <w:color w:val="4A4A47"/>
                <w:sz w:val="17"/>
                <w:szCs w:val="17"/>
                <w:bdr w:val="none" w:sz="0" w:space="0" w:color="auto" w:frame="1"/>
              </w:rPr>
              <w:t>(Minutes)</w:t>
            </w:r>
          </w:p>
        </w:tc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bottom"/>
            <w:hideMark/>
          </w:tcPr>
          <w:p w:rsidR="00303CC4" w:rsidRPr="00303CC4" w:rsidRDefault="00303CC4" w:rsidP="00303CC4">
            <w:pPr>
              <w:spacing w:after="0" w:line="348" w:lineRule="atLeast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color w:val="4A4A47"/>
                <w:sz w:val="17"/>
                <w:szCs w:val="17"/>
              </w:rPr>
            </w:pPr>
            <w:r w:rsidRPr="00303CC4">
              <w:rPr>
                <w:rFonts w:ascii="Arial" w:eastAsia="Times New Roman" w:hAnsi="Arial" w:cs="Arial"/>
                <w:b/>
                <w:bCs/>
                <w:color w:val="4A4A47"/>
                <w:sz w:val="17"/>
                <w:szCs w:val="17"/>
                <w:bdr w:val="none" w:sz="0" w:space="0" w:color="auto" w:frame="1"/>
              </w:rPr>
              <w:t>Lesson Phase</w:t>
            </w:r>
          </w:p>
        </w:tc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bottom"/>
            <w:hideMark/>
          </w:tcPr>
          <w:p w:rsidR="00303CC4" w:rsidRPr="00303CC4" w:rsidRDefault="00EE61CE" w:rsidP="00303CC4">
            <w:pPr>
              <w:spacing w:after="0" w:line="348" w:lineRule="atLeast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color w:val="4A4A47"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color w:val="4A4A47"/>
                <w:sz w:val="17"/>
                <w:szCs w:val="17"/>
                <w:bdr w:val="none" w:sz="0" w:space="0" w:color="auto" w:frame="1"/>
              </w:rPr>
              <w:t xml:space="preserve"> </w:t>
            </w:r>
            <w:r w:rsidR="00303CC4" w:rsidRPr="00303CC4">
              <w:rPr>
                <w:rFonts w:ascii="Arial" w:eastAsia="Times New Roman" w:hAnsi="Arial" w:cs="Arial"/>
                <w:b/>
                <w:bCs/>
                <w:color w:val="4A4A47"/>
                <w:sz w:val="17"/>
                <w:szCs w:val="17"/>
                <w:bdr w:val="none" w:sz="0" w:space="0" w:color="auto" w:frame="1"/>
              </w:rPr>
              <w:t>Details</w:t>
            </w:r>
          </w:p>
        </w:tc>
      </w:tr>
      <w:tr w:rsidR="00DE4AF9" w:rsidRPr="00303CC4" w:rsidTr="00303CC4"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5</w:t>
            </w:r>
          </w:p>
        </w:tc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Introduction</w:t>
            </w:r>
          </w:p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Set a purpose. Introduce the topic with a grabber and information to get students thinking. Make the learning relevant.</w:t>
            </w:r>
          </w:p>
        </w:tc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Pr="00303CC4" w:rsidRDefault="00FA5278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In this unit we have examines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alternatives to traditional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writing  spaces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 which to compose, display and collect composition artifacts.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Also, we have created several traditional genre pieces. Finally, we have employed the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ePortfolio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as a platform of display and storage.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</w:p>
        </w:tc>
      </w:tr>
      <w:tr w:rsidR="00DE4AF9" w:rsidRPr="00303CC4" w:rsidTr="00303CC4"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Pr="00303CC4" w:rsidRDefault="00FA5278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 xml:space="preserve"> </w:t>
            </w:r>
            <w:r w:rsidR="00303CC4" w:rsidRPr="00303C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5</w:t>
            </w:r>
          </w:p>
        </w:tc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Foundation</w:t>
            </w:r>
          </w:p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 on previous learning. Clarify key points of the coming lesson, including standards, goals, and objectives, building background knowledge and key vocabulary.</w:t>
            </w:r>
          </w:p>
        </w:tc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Pr="00E602F7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E602F7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Quick discussion of the grabber.</w:t>
            </w:r>
          </w:p>
          <w:p w:rsidR="00E602F7" w:rsidRDefault="00303CC4" w:rsidP="00E602F7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02F7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Goal:</w:t>
            </w:r>
            <w:r w:rsidRPr="00303CC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E602F7" w:rsidRPr="007B08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To </w:t>
            </w:r>
            <w:r w:rsidR="00E602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access alternatives to traditional </w:t>
            </w:r>
            <w:proofErr w:type="gramStart"/>
            <w:r w:rsidR="00E602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writing  spaces</w:t>
            </w:r>
            <w:proofErr w:type="gramEnd"/>
            <w:r w:rsidR="00E602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 which to compose, display and collect composition artifacts.   </w:t>
            </w:r>
          </w:p>
          <w:p w:rsidR="00303CC4" w:rsidRPr="00303CC4" w:rsidRDefault="00303CC4" w:rsidP="00E602F7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02F7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Key terms:</w:t>
            </w:r>
            <w:r w:rsidRPr="00303CC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  <w:r w:rsidR="00FA527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Genre, traditional poetry, </w:t>
            </w:r>
            <w:proofErr w:type="spellStart"/>
            <w:r w:rsidR="00FA527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ePortfolio</w:t>
            </w:r>
            <w:proofErr w:type="spellEnd"/>
          </w:p>
        </w:tc>
      </w:tr>
      <w:tr w:rsidR="00DE4AF9" w:rsidRPr="00303CC4" w:rsidTr="00E602F7"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5</w:t>
            </w:r>
          </w:p>
        </w:tc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Brain Activation</w:t>
            </w:r>
          </w:p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Ask questions; clarify; provide additional background knowledge. Perhaps include a brainstorm activity on the topic to check learning.</w:t>
            </w:r>
          </w:p>
        </w:tc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</w:tcPr>
          <w:p w:rsidR="00303CC4" w:rsidRPr="00303CC4" w:rsidRDefault="00FA5278" w:rsidP="00FA5278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Based on the Go Passes that students submitted at the end of each class, will lead discussion on acquired knowledge during this unit. </w:t>
            </w:r>
          </w:p>
        </w:tc>
      </w:tr>
      <w:tr w:rsidR="00DE4AF9" w:rsidRPr="00303CC4" w:rsidTr="00303CC4"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5</w:t>
            </w:r>
          </w:p>
        </w:tc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Body of New Information</w:t>
            </w:r>
          </w:p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Build background knowledge, lecture, and introduce key new points of understanding, correcting misconceptions. Read text; complete whole-class problems; conduct class discussion.</w:t>
            </w:r>
          </w:p>
        </w:tc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Pr="00303CC4" w:rsidRDefault="00FA5278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(cont.)</w:t>
            </w:r>
          </w:p>
        </w:tc>
      </w:tr>
      <w:tr w:rsidR="00DE4AF9" w:rsidRPr="00303CC4" w:rsidTr="00303CC4"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5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Clarification</w:t>
            </w:r>
          </w:p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Provide sample problems and situations. Pose questions to move students toward independent work.</w:t>
            </w:r>
          </w:p>
        </w:tc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Pr="00303CC4" w:rsidRDefault="00FA5278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(cont.)</w:t>
            </w:r>
          </w:p>
        </w:tc>
      </w:tr>
      <w:tr w:rsidR="00DE4AF9" w:rsidRPr="00303CC4" w:rsidTr="00E602F7"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lastRenderedPageBreak/>
              <w:t>5</w:t>
            </w:r>
          </w:p>
        </w:tc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Practice and Review</w:t>
            </w:r>
          </w:p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Students work with teacher and whole class, in small groups, or with a partner to clarify learning.</w:t>
            </w:r>
          </w:p>
        </w:tc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</w:tcPr>
          <w:p w:rsidR="00303CC4" w:rsidRPr="00303CC4" w:rsidRDefault="00FA5278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Students will refer to Norton Field Guide for key features of the reflective essay.</w:t>
            </w:r>
          </w:p>
        </w:tc>
      </w:tr>
      <w:tr w:rsidR="00DE4AF9" w:rsidRPr="00303CC4" w:rsidTr="00303CC4"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10</w:t>
            </w:r>
          </w:p>
        </w:tc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Independent Practice</w:t>
            </w:r>
          </w:p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Students practice on their own. Begin homework. Struggling students get additional practice.</w:t>
            </w:r>
          </w:p>
        </w:tc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Pr="00303CC4" w:rsidRDefault="00FA5278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Teacher will describe the organization of the reflective essay.  </w:t>
            </w:r>
          </w:p>
        </w:tc>
      </w:tr>
      <w:tr w:rsidR="00DE4AF9" w:rsidRPr="00303CC4" w:rsidTr="00303CC4"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Pr="00303CC4" w:rsidRDefault="00DE4AF9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1</w:t>
            </w:r>
            <w:r w:rsidR="00303CC4" w:rsidRPr="00303C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5</w:t>
            </w:r>
          </w:p>
        </w:tc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Closure</w:t>
            </w:r>
          </w:p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Connect the lesson details together. Answer questions and respond to </w:t>
            </w:r>
            <w:proofErr w:type="spellStart"/>
            <w:r w:rsidRPr="00303CC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wholeclass</w:t>
            </w:r>
            <w:proofErr w:type="spellEnd"/>
            <w:r w:rsidRPr="00303CC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difficulties.</w:t>
            </w:r>
          </w:p>
        </w:tc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Pr="00303CC4" w:rsidRDefault="00E602F7" w:rsidP="00E602F7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76E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Student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 will </w:t>
            </w:r>
            <w:r w:rsidR="00FA527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compose a reflective essay on the experience of this unit. </w:t>
            </w:r>
            <w:r w:rsidR="00DE4A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</w:t>
            </w:r>
            <w:r w:rsidR="00FA527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ourney</w:t>
            </w:r>
            <w:r w:rsidR="00DE4A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. Students </w:t>
            </w:r>
            <w:proofErr w:type="gramStart"/>
            <w:r w:rsidR="00DE4A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will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summarize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what they have learned </w:t>
            </w:r>
            <w:r w:rsidR="00DE4A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during this period.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What was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useful,</w:t>
            </w:r>
            <w:r w:rsidR="00DE4A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?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etc. </w:t>
            </w:r>
            <w:r w:rsidRPr="007B08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Teacher collects </w:t>
            </w:r>
            <w:r w:rsidR="00DE4A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essay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as class e</w:t>
            </w:r>
            <w:r w:rsidRPr="007B08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xi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ts. This feedback serves as </w:t>
            </w:r>
            <w:r w:rsidRPr="007B08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assess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ment for planning future instruction. </w:t>
            </w:r>
          </w:p>
        </w:tc>
      </w:tr>
    </w:tbl>
    <w:p w:rsidR="00604DAF" w:rsidRDefault="00604DAF"/>
    <w:sectPr w:rsidR="00604D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CC4"/>
    <w:rsid w:val="00303CC4"/>
    <w:rsid w:val="00604DAF"/>
    <w:rsid w:val="0065361A"/>
    <w:rsid w:val="00810F24"/>
    <w:rsid w:val="00C23D60"/>
    <w:rsid w:val="00DE4AF9"/>
    <w:rsid w:val="00E602F7"/>
    <w:rsid w:val="00EC09F2"/>
    <w:rsid w:val="00EE61CE"/>
    <w:rsid w:val="00FA5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AB3E64"/>
  <w15:chartTrackingRefBased/>
  <w15:docId w15:val="{5CDD950D-E065-42D3-A216-76D015ECA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436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csykes</dc:creator>
  <cp:keywords/>
  <dc:description/>
  <cp:lastModifiedBy>csykes</cp:lastModifiedBy>
  <cp:revision>4</cp:revision>
  <dcterms:created xsi:type="dcterms:W3CDTF">2017-07-04T01:02:00Z</dcterms:created>
  <dcterms:modified xsi:type="dcterms:W3CDTF">2017-07-04T01:14:00Z</dcterms:modified>
</cp:coreProperties>
</file>